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E8A61" w14:textId="77777777" w:rsidR="000D1DB2" w:rsidRDefault="000D1DB2">
      <w:bookmarkStart w:id="0" w:name="_GoBack"/>
      <w:bookmarkEnd w:id="0"/>
    </w:p>
    <w:p w14:paraId="7E022D11" w14:textId="77777777" w:rsidR="00D441B2" w:rsidRPr="00D441B2" w:rsidRDefault="00D441B2" w:rsidP="00D441B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0"/>
          <w:szCs w:val="40"/>
          <w:lang w:eastAsia="ru-RU"/>
        </w:rPr>
      </w:pPr>
      <w:r w:rsidRPr="00D441B2">
        <w:rPr>
          <w:rFonts w:ascii="Times New Roman" w:eastAsia="Times New Roman" w:hAnsi="Times New Roman" w:cs="Times New Roman"/>
          <w:b/>
          <w:bCs/>
          <w:color w:val="000000"/>
          <w:kern w:val="36"/>
          <w:sz w:val="40"/>
          <w:szCs w:val="40"/>
          <w:lang w:eastAsia="ru-RU"/>
        </w:rPr>
        <w:t>Политика оператора в отношении обработки персональных данных</w:t>
      </w:r>
    </w:p>
    <w:p w14:paraId="3487CF0D" w14:textId="77777777" w:rsidR="00D441B2" w:rsidRPr="00D441B2" w:rsidRDefault="00D441B2" w:rsidP="00D441B2">
      <w:pPr>
        <w:spacing w:before="100" w:beforeAutospacing="1" w:after="100" w:afterAutospacing="1" w:line="240" w:lineRule="auto"/>
        <w:jc w:val="center"/>
        <w:outlineLvl w:val="1"/>
        <w:rPr>
          <w:rFonts w:ascii="Times New Roman" w:eastAsia="Times New Roman" w:hAnsi="Times New Roman" w:cs="Times New Roman"/>
          <w:b/>
          <w:bCs/>
          <w:i/>
          <w:iCs/>
          <w:color w:val="000000"/>
          <w:sz w:val="24"/>
          <w:szCs w:val="24"/>
          <w:lang w:eastAsia="ru-RU"/>
        </w:rPr>
      </w:pPr>
      <w:r w:rsidRPr="00D441B2">
        <w:rPr>
          <w:rFonts w:ascii="Times New Roman" w:eastAsia="Times New Roman" w:hAnsi="Times New Roman" w:cs="Times New Roman"/>
          <w:b/>
          <w:bCs/>
          <w:i/>
          <w:iCs/>
          <w:color w:val="000000"/>
          <w:sz w:val="24"/>
          <w:szCs w:val="24"/>
          <w:lang w:eastAsia="ru-RU"/>
        </w:rPr>
        <w:t>1. Общие положения</w:t>
      </w:r>
    </w:p>
    <w:p w14:paraId="591EF28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1.1. Политика Общества с ограниченной ответственностью "АВЕКС" в отношении обработки персональных данных (далее - Политика, оператор) разработана во исполнение требований </w:t>
      </w:r>
      <w:hyperlink r:id="rId6" w:anchor="/document/12148567/entry/18112"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пункта 2 части 1 статьи 18.1</w:t>
        </w:r>
      </w:hyperlink>
      <w:r w:rsidRPr="00D441B2">
        <w:rPr>
          <w:rFonts w:ascii="Times New Roman" w:eastAsia="Times New Roman" w:hAnsi="Times New Roman" w:cs="Times New Roman"/>
          <w:sz w:val="24"/>
          <w:szCs w:val="24"/>
          <w:lang w:eastAsia="ru-RU"/>
        </w:rPr>
        <w:t xml:space="preserve"> Федерального закона от 27 июля 2006 г. N 152-ФЗ "О персональных данных" (далее - Закон о персональных данных)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134ADF7D"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1.2. Основные понятия, используемые в Политике:</w:t>
      </w:r>
    </w:p>
    <w:p w14:paraId="3A6C8BF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142362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423810F"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автоматизированная обработка персональных данных - обработка персональных данных с помощью средств вычислительной техники;</w:t>
      </w:r>
    </w:p>
    <w:p w14:paraId="311AD3A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распространение персональных данных - действия, направленные на раскрытие персональных данных неопределенному кругу лиц;</w:t>
      </w:r>
    </w:p>
    <w:p w14:paraId="6D37424D"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BF7757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F631D7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86D5A9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lastRenderedPageBreak/>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638DA8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1.3. Политика действует в отношении всех персональных данных, которые обрабатывает Оператор.</w:t>
      </w:r>
    </w:p>
    <w:p w14:paraId="1E23285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1.4. Во исполнение требований </w:t>
      </w:r>
      <w:hyperlink r:id="rId7" w:anchor="/document/12148567/entry/1812"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части 2 статьи 18.1</w:t>
        </w:r>
      </w:hyperlink>
      <w:r w:rsidRPr="00D441B2">
        <w:rPr>
          <w:rFonts w:ascii="Times New Roman" w:eastAsia="Times New Roman" w:hAnsi="Times New Roman" w:cs="Times New Roman"/>
          <w:sz w:val="24"/>
          <w:szCs w:val="24"/>
          <w:lang w:eastAsia="ru-RU"/>
        </w:rPr>
        <w:t xml:space="preserve"> Закона о персональных данных настоящая Политика публикуется в свободном доступе в информационно-телекоммуникационной сети Интернет по адресу: www.aveks.pro и на сайте Оператора.</w:t>
      </w:r>
    </w:p>
    <w:p w14:paraId="45D00C5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1.5.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14:paraId="5975506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1.6. Ответственность Оператора за нарушение требований законодательства Российской Федерации и нормативных актов в сфере обработки и защиты персональных данных определяется в соответствии с законодательством Российской Федерации. </w:t>
      </w:r>
    </w:p>
    <w:p w14:paraId="049B26A4" w14:textId="77777777" w:rsidR="00D441B2" w:rsidRPr="00D441B2" w:rsidRDefault="00D441B2" w:rsidP="00D441B2">
      <w:pPr>
        <w:spacing w:before="100" w:beforeAutospacing="1" w:after="100" w:afterAutospacing="1" w:line="240" w:lineRule="auto"/>
        <w:jc w:val="center"/>
        <w:outlineLvl w:val="1"/>
        <w:rPr>
          <w:rFonts w:ascii="Times New Roman" w:eastAsia="Times New Roman" w:hAnsi="Times New Roman" w:cs="Times New Roman"/>
          <w:b/>
          <w:bCs/>
          <w:i/>
          <w:iCs/>
          <w:color w:val="000000"/>
          <w:sz w:val="24"/>
          <w:szCs w:val="24"/>
          <w:lang w:eastAsia="ru-RU"/>
        </w:rPr>
      </w:pPr>
      <w:r w:rsidRPr="00D441B2">
        <w:rPr>
          <w:rFonts w:ascii="Times New Roman" w:eastAsia="Times New Roman" w:hAnsi="Times New Roman" w:cs="Times New Roman"/>
          <w:b/>
          <w:bCs/>
          <w:i/>
          <w:iCs/>
          <w:color w:val="000000"/>
          <w:sz w:val="24"/>
          <w:szCs w:val="24"/>
          <w:lang w:eastAsia="ru-RU"/>
        </w:rPr>
        <w:t>2. Основные права и обязанности оператора</w:t>
      </w:r>
    </w:p>
    <w:p w14:paraId="4F26082A"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2.1. Оператор вправе:</w:t>
      </w:r>
    </w:p>
    <w:p w14:paraId="0114220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а) самостоятельно определять состав и перечень мер, необходимых и достаточных для обеспечения выполнения обязанностей, предусмотренных </w:t>
      </w:r>
      <w:hyperlink r:id="rId8" w:anchor="/document/12148567/entry/40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Законом</w:t>
        </w:r>
      </w:hyperlink>
      <w:r w:rsidRPr="00D441B2">
        <w:rPr>
          <w:rFonts w:ascii="Times New Roman" w:eastAsia="Times New Roman" w:hAnsi="Times New Roman" w:cs="Times New Roman"/>
          <w:sz w:val="24"/>
          <w:szCs w:val="24"/>
          <w:lang w:eastAsia="ru-RU"/>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7C6945A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б)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9" w:anchor="/document/12148567/entry/20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Законом</w:t>
        </w:r>
      </w:hyperlink>
      <w:r w:rsidRPr="00D441B2">
        <w:rPr>
          <w:rFonts w:ascii="Times New Roman" w:eastAsia="Times New Roman" w:hAnsi="Times New Roman" w:cs="Times New Roman"/>
          <w:sz w:val="24"/>
          <w:szCs w:val="24"/>
          <w:lang w:eastAsia="ru-RU"/>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hyperlink r:id="rId10" w:anchor="/document/12148567/entry/40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Законом</w:t>
        </w:r>
      </w:hyperlink>
      <w:r w:rsidRPr="00D441B2">
        <w:rPr>
          <w:rFonts w:ascii="Times New Roman" w:eastAsia="Times New Roman" w:hAnsi="Times New Roman" w:cs="Times New Roman"/>
          <w:sz w:val="24"/>
          <w:szCs w:val="24"/>
          <w:lang w:eastAsia="ru-RU"/>
        </w:rPr>
        <w:t xml:space="preserve"> о персональных данных; </w:t>
      </w:r>
    </w:p>
    <w:p w14:paraId="6DA2B1FF"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в) вправе продолжить обработку персональных данных без согласия субъекта персональных данных при наличии оснований, указанных в </w:t>
      </w:r>
      <w:hyperlink r:id="rId11" w:anchor="/document/12148567/entry/9002"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Законе</w:t>
        </w:r>
      </w:hyperlink>
      <w:r w:rsidRPr="00D441B2">
        <w:rPr>
          <w:rFonts w:ascii="Times New Roman" w:eastAsia="Times New Roman" w:hAnsi="Times New Roman" w:cs="Times New Roman"/>
          <w:sz w:val="24"/>
          <w:szCs w:val="24"/>
          <w:lang w:eastAsia="ru-RU"/>
        </w:rPr>
        <w:t xml:space="preserve"> о персональных данных, в случае отзыва субъектом персональных данных согласия на обработку персональных данных. </w:t>
      </w:r>
    </w:p>
    <w:p w14:paraId="1593793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2.2. Оператор обязан:</w:t>
      </w:r>
    </w:p>
    <w:p w14:paraId="559D733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а) организовывать обработку персональных данных в соответствии с требованиями </w:t>
      </w:r>
      <w:hyperlink r:id="rId12" w:anchor="/document/12148567/entry/20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Закона</w:t>
        </w:r>
      </w:hyperlink>
      <w:r w:rsidRPr="00D441B2">
        <w:rPr>
          <w:rFonts w:ascii="Times New Roman" w:eastAsia="Times New Roman" w:hAnsi="Times New Roman" w:cs="Times New Roman"/>
          <w:sz w:val="24"/>
          <w:szCs w:val="24"/>
          <w:lang w:eastAsia="ru-RU"/>
        </w:rPr>
        <w:t xml:space="preserve"> о персональных данных; </w:t>
      </w:r>
    </w:p>
    <w:p w14:paraId="1459EF15"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lastRenderedPageBreak/>
        <w:t>б) при сборе персональных данных предоставить субъекту персональных данных по его просьбе информацию, касающуюся обработки его персональных данных;</w:t>
      </w:r>
    </w:p>
    <w:p w14:paraId="5935B3E5"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в)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C434C0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г) отвечать на обращения и запросы субъектов персональных данных и их законных представителей в соответствии с требованиями </w:t>
      </w:r>
      <w:hyperlink r:id="rId13" w:anchor="/document/12148567/entry/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Закона</w:t>
        </w:r>
      </w:hyperlink>
      <w:r w:rsidRPr="00D441B2">
        <w:rPr>
          <w:rFonts w:ascii="Times New Roman" w:eastAsia="Times New Roman" w:hAnsi="Times New Roman" w:cs="Times New Roman"/>
          <w:sz w:val="24"/>
          <w:szCs w:val="24"/>
          <w:lang w:eastAsia="ru-RU"/>
        </w:rPr>
        <w:t xml:space="preserve"> о персональных данных;</w:t>
      </w:r>
    </w:p>
    <w:p w14:paraId="3CC8A1B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д)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адрес уполномоченного органа по защите прав субъектов персональных данных мотивированное уведомление с указанием причин продления срока предоставления запрашиваемой информации; </w:t>
      </w:r>
    </w:p>
    <w:p w14:paraId="77F04549"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е)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 в порядке, определенном федеральным органом исполнительной власти, уполномоченным в области обеспечения безопасности. </w:t>
      </w:r>
    </w:p>
    <w:p w14:paraId="579F0BFC" w14:textId="77777777" w:rsidR="00D441B2" w:rsidRPr="00D441B2" w:rsidRDefault="00D441B2" w:rsidP="00D441B2">
      <w:pPr>
        <w:spacing w:before="100" w:beforeAutospacing="1" w:after="100" w:afterAutospacing="1" w:line="240" w:lineRule="auto"/>
        <w:jc w:val="center"/>
        <w:outlineLvl w:val="1"/>
        <w:rPr>
          <w:rFonts w:ascii="Times New Roman" w:eastAsia="Times New Roman" w:hAnsi="Times New Roman" w:cs="Times New Roman"/>
          <w:b/>
          <w:bCs/>
          <w:i/>
          <w:iCs/>
          <w:color w:val="000000"/>
          <w:sz w:val="24"/>
          <w:szCs w:val="24"/>
          <w:lang w:eastAsia="ru-RU"/>
        </w:rPr>
      </w:pPr>
      <w:r w:rsidRPr="00D441B2">
        <w:rPr>
          <w:rFonts w:ascii="Times New Roman" w:eastAsia="Times New Roman" w:hAnsi="Times New Roman" w:cs="Times New Roman"/>
          <w:b/>
          <w:bCs/>
          <w:i/>
          <w:iCs/>
          <w:color w:val="000000"/>
          <w:sz w:val="24"/>
          <w:szCs w:val="24"/>
          <w:lang w:eastAsia="ru-RU"/>
        </w:rPr>
        <w:t>3. Основные права субъекта персональных данных</w:t>
      </w:r>
    </w:p>
    <w:p w14:paraId="0B9BB62A"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3.1. Субъект персональных данных имеет право: </w:t>
      </w:r>
    </w:p>
    <w:p w14:paraId="6FA82725"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а)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w:t>
      </w:r>
      <w:hyperlink r:id="rId14" w:anchor="/document/12148567/entry/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Законом</w:t>
        </w:r>
      </w:hyperlink>
      <w:r w:rsidRPr="00D441B2">
        <w:rPr>
          <w:rFonts w:ascii="Times New Roman" w:eastAsia="Times New Roman" w:hAnsi="Times New Roman" w:cs="Times New Roman"/>
          <w:sz w:val="24"/>
          <w:szCs w:val="24"/>
          <w:lang w:eastAsia="ru-RU"/>
        </w:rPr>
        <w:t xml:space="preserve"> о персональных данных; </w:t>
      </w:r>
    </w:p>
    <w:p w14:paraId="20F2B7FF"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б)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1A89675D"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в) на защиту своих прав и законных интересов, в том числе на возмещение убытков и (или) компенсацию морального вреда в судебном порядке.</w:t>
      </w:r>
    </w:p>
    <w:p w14:paraId="244F1754" w14:textId="77777777" w:rsidR="00D441B2" w:rsidRPr="00D441B2" w:rsidRDefault="00D441B2" w:rsidP="00D441B2">
      <w:pPr>
        <w:spacing w:before="100" w:beforeAutospacing="1" w:after="100" w:afterAutospacing="1" w:line="240" w:lineRule="auto"/>
        <w:jc w:val="center"/>
        <w:outlineLvl w:val="1"/>
        <w:rPr>
          <w:rFonts w:ascii="Times New Roman" w:eastAsia="Times New Roman" w:hAnsi="Times New Roman" w:cs="Times New Roman"/>
          <w:b/>
          <w:bCs/>
          <w:i/>
          <w:iCs/>
          <w:color w:val="000000"/>
          <w:sz w:val="24"/>
          <w:szCs w:val="24"/>
          <w:lang w:eastAsia="ru-RU"/>
        </w:rPr>
      </w:pPr>
      <w:r w:rsidRPr="00D441B2">
        <w:rPr>
          <w:rFonts w:ascii="Times New Roman" w:eastAsia="Times New Roman" w:hAnsi="Times New Roman" w:cs="Times New Roman"/>
          <w:b/>
          <w:bCs/>
          <w:i/>
          <w:iCs/>
          <w:color w:val="000000"/>
          <w:sz w:val="24"/>
          <w:szCs w:val="24"/>
          <w:lang w:eastAsia="ru-RU"/>
        </w:rPr>
        <w:t>4. Цели сбора персональных данных</w:t>
      </w:r>
    </w:p>
    <w:p w14:paraId="093EC25E"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4.1.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7B3434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lastRenderedPageBreak/>
        <w:t>4.2. Обработке подлежат только персональные данные, которые отвечают целям их обработки.</w:t>
      </w:r>
    </w:p>
    <w:p w14:paraId="4327C37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4.3. Обработка Оператором персональных данных осуществляется в следующих целях:</w:t>
      </w:r>
    </w:p>
    <w:p w14:paraId="6781B40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осуществления деятельности, предусмотренной учредительными документами Оператора;</w:t>
      </w:r>
    </w:p>
    <w:p w14:paraId="75E4FCB5"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обеспечения соблюдения законов и иных нормативных правовых актов в рамках трудовых и непосредственно связанных с ними отношений,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6CBFAF7A"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продвижение товаров, работ, услуг Оператора на рынке путем осуществления прямых контактов с потенциальными контрагентами и клиентами с помощью средств связи;</w:t>
      </w:r>
    </w:p>
    <w:p w14:paraId="10BBC1C0" w14:textId="77777777" w:rsidR="00D441B2" w:rsidRPr="00D441B2" w:rsidRDefault="00D441B2" w:rsidP="00D441B2">
      <w:pPr>
        <w:spacing w:before="100" w:beforeAutospacing="1" w:after="100" w:afterAutospacing="1" w:line="240" w:lineRule="auto"/>
        <w:jc w:val="center"/>
        <w:outlineLvl w:val="1"/>
        <w:rPr>
          <w:rFonts w:ascii="Times New Roman" w:eastAsia="Times New Roman" w:hAnsi="Times New Roman" w:cs="Times New Roman"/>
          <w:b/>
          <w:bCs/>
          <w:i/>
          <w:iCs/>
          <w:color w:val="000000"/>
          <w:sz w:val="24"/>
          <w:szCs w:val="24"/>
          <w:lang w:eastAsia="ru-RU"/>
        </w:rPr>
      </w:pPr>
      <w:r w:rsidRPr="00D441B2">
        <w:rPr>
          <w:rFonts w:ascii="Times New Roman" w:eastAsia="Times New Roman" w:hAnsi="Times New Roman" w:cs="Times New Roman"/>
          <w:b/>
          <w:bCs/>
          <w:i/>
          <w:iCs/>
          <w:color w:val="000000"/>
          <w:sz w:val="24"/>
          <w:szCs w:val="24"/>
          <w:lang w:eastAsia="ru-RU"/>
        </w:rPr>
        <w:t>5. Правовые основания обработки персональных данных</w:t>
      </w:r>
    </w:p>
    <w:p w14:paraId="0E04A1E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5.1. Правовым основанием обработки персональных данных являются нормативные правовые акты, во исполнение которых и в соответствии с которыми Оператор осуществляет обработку персональных данных, в том числе:</w:t>
      </w:r>
    </w:p>
    <w:p w14:paraId="62C46C9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 </w:t>
      </w:r>
      <w:hyperlink r:id="rId15" w:anchor="/document/10103000/entry/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Конституция</w:t>
        </w:r>
      </w:hyperlink>
      <w:r w:rsidRPr="00D441B2">
        <w:rPr>
          <w:rFonts w:ascii="Times New Roman" w:eastAsia="Times New Roman" w:hAnsi="Times New Roman" w:cs="Times New Roman"/>
          <w:sz w:val="24"/>
          <w:szCs w:val="24"/>
          <w:lang w:eastAsia="ru-RU"/>
        </w:rPr>
        <w:t xml:space="preserve"> Российской Федерации;</w:t>
      </w:r>
    </w:p>
    <w:p w14:paraId="2485D95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 </w:t>
      </w:r>
      <w:hyperlink r:id="rId16" w:anchor="/document/10164072/entry/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Гражданский кодекс</w:t>
        </w:r>
      </w:hyperlink>
      <w:r w:rsidRPr="00D441B2">
        <w:rPr>
          <w:rFonts w:ascii="Times New Roman" w:eastAsia="Times New Roman" w:hAnsi="Times New Roman" w:cs="Times New Roman"/>
          <w:sz w:val="24"/>
          <w:szCs w:val="24"/>
          <w:lang w:eastAsia="ru-RU"/>
        </w:rPr>
        <w:t xml:space="preserve"> Российской Федерации;</w:t>
      </w:r>
    </w:p>
    <w:p w14:paraId="3DF05A5D"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 </w:t>
      </w:r>
      <w:hyperlink r:id="rId17" w:anchor="/document/12125268/entry/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Трудовой кодекс</w:t>
        </w:r>
      </w:hyperlink>
      <w:r w:rsidRPr="00D441B2">
        <w:rPr>
          <w:rFonts w:ascii="Times New Roman" w:eastAsia="Times New Roman" w:hAnsi="Times New Roman" w:cs="Times New Roman"/>
          <w:sz w:val="24"/>
          <w:szCs w:val="24"/>
          <w:lang w:eastAsia="ru-RU"/>
        </w:rPr>
        <w:t xml:space="preserve"> Российской Федерации;</w:t>
      </w:r>
    </w:p>
    <w:p w14:paraId="48C7879D"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 </w:t>
      </w:r>
      <w:hyperlink r:id="rId18" w:anchor="/document/10900200/entry/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Налоговый кодекс</w:t>
        </w:r>
      </w:hyperlink>
      <w:r w:rsidRPr="00D441B2">
        <w:rPr>
          <w:rFonts w:ascii="Times New Roman" w:eastAsia="Times New Roman" w:hAnsi="Times New Roman" w:cs="Times New Roman"/>
          <w:sz w:val="24"/>
          <w:szCs w:val="24"/>
          <w:lang w:eastAsia="ru-RU"/>
        </w:rPr>
        <w:t xml:space="preserve"> Российской Федерации;</w:t>
      </w:r>
    </w:p>
    <w:p w14:paraId="29AA661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 </w:t>
      </w:r>
      <w:hyperlink r:id="rId19" w:anchor="/document/70103036/entry/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Федеральный закон</w:t>
        </w:r>
      </w:hyperlink>
      <w:r w:rsidRPr="00D441B2">
        <w:rPr>
          <w:rFonts w:ascii="Times New Roman" w:eastAsia="Times New Roman" w:hAnsi="Times New Roman" w:cs="Times New Roman"/>
          <w:sz w:val="24"/>
          <w:szCs w:val="24"/>
          <w:lang w:eastAsia="ru-RU"/>
        </w:rPr>
        <w:t xml:space="preserve"> от 6 декабря 2011 г. N 402-ФЗ "О бухгалтерском учете";</w:t>
      </w:r>
    </w:p>
    <w:p w14:paraId="091BEC0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 </w:t>
      </w:r>
      <w:hyperlink r:id="rId20" w:anchor="/document/12125143/entry/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Федеральный закон</w:t>
        </w:r>
      </w:hyperlink>
      <w:r w:rsidRPr="00D441B2">
        <w:rPr>
          <w:rFonts w:ascii="Times New Roman" w:eastAsia="Times New Roman" w:hAnsi="Times New Roman" w:cs="Times New Roman"/>
          <w:sz w:val="24"/>
          <w:szCs w:val="24"/>
          <w:lang w:eastAsia="ru-RU"/>
        </w:rPr>
        <w:t xml:space="preserve"> от 15 декабря 2001 г. N 167-ФЗ "Об обязательном пенсионном страховании в Российской Федерации";</w:t>
      </w:r>
    </w:p>
    <w:p w14:paraId="3674375D"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5.2. Правовым основанием обработки персональных данных также являются: </w:t>
      </w:r>
    </w:p>
    <w:p w14:paraId="237CB92A"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нормативно-правовые акты, регулирующие отношения, связанные с деятельностью Оператора;</w:t>
      </w:r>
    </w:p>
    <w:p w14:paraId="02D8339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уставные документы Оператора;</w:t>
      </w:r>
    </w:p>
    <w:p w14:paraId="3B3FC53A"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договоры, заключаемые между Оператором и субъектами персональных данных;</w:t>
      </w:r>
    </w:p>
    <w:p w14:paraId="187E23B5"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согласие субъектов персональных данных на обработку их персональных данных.</w:t>
      </w:r>
    </w:p>
    <w:p w14:paraId="3A2C94DF" w14:textId="77777777" w:rsidR="00D441B2" w:rsidRPr="00D441B2" w:rsidRDefault="00D441B2" w:rsidP="00D441B2">
      <w:pPr>
        <w:spacing w:before="100" w:beforeAutospacing="1" w:after="100" w:afterAutospacing="1" w:line="240" w:lineRule="auto"/>
        <w:jc w:val="center"/>
        <w:outlineLvl w:val="1"/>
        <w:rPr>
          <w:rFonts w:ascii="Times New Roman" w:eastAsia="Times New Roman" w:hAnsi="Times New Roman" w:cs="Times New Roman"/>
          <w:b/>
          <w:bCs/>
          <w:i/>
          <w:iCs/>
          <w:color w:val="000000"/>
          <w:sz w:val="24"/>
          <w:szCs w:val="24"/>
          <w:lang w:eastAsia="ru-RU"/>
        </w:rPr>
      </w:pPr>
      <w:r w:rsidRPr="00D441B2">
        <w:rPr>
          <w:rFonts w:ascii="Times New Roman" w:eastAsia="Times New Roman" w:hAnsi="Times New Roman" w:cs="Times New Roman"/>
          <w:b/>
          <w:bCs/>
          <w:i/>
          <w:iCs/>
          <w:color w:val="000000"/>
          <w:sz w:val="24"/>
          <w:szCs w:val="24"/>
          <w:lang w:eastAsia="ru-RU"/>
        </w:rPr>
        <w:lastRenderedPageBreak/>
        <w:t>6. Объем и категории обрабатываемых персональных данных, категории субъектов персональных данных, способы и сроки обработки, хранения и порядок уничтожения</w:t>
      </w:r>
    </w:p>
    <w:p w14:paraId="5B57F8BD"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6.1.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58EE60A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6.2. Оператор может обрабатывать персональные данные следующих категорий субъектов персональных данных для следующих целей:</w:t>
      </w:r>
    </w:p>
    <w:p w14:paraId="4BFF838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6.2.1. Кандидаты на замещение вакантных должностей.</w:t>
      </w:r>
    </w:p>
    <w:p w14:paraId="24665C4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В данной категории субъектов Оператором обрабатываются персональные данные, полученные Оператором, в целях рассмотрения вопроса о приеме кандидатов на работу (оценка профессиональных качеств потенциального работника, сведений о его опыте работы и т. д.), осуществления пропускного режима, обеспечения сохранности имущества работников, Оператора и иных лиц, находящихся на территории Оператора:</w:t>
      </w:r>
    </w:p>
    <w:p w14:paraId="05EE5E58"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только общие персональные данные:</w:t>
      </w:r>
    </w:p>
    <w:p w14:paraId="24A60DF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фамилия, имя, отчество;</w:t>
      </w:r>
    </w:p>
    <w:p w14:paraId="1171A45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пол;</w:t>
      </w:r>
    </w:p>
    <w:p w14:paraId="4FB9F2D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гражданство;</w:t>
      </w:r>
    </w:p>
    <w:p w14:paraId="2BA546FF"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дата и место рождения;</w:t>
      </w:r>
    </w:p>
    <w:p w14:paraId="7EA15CE8"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контактные данные;</w:t>
      </w:r>
    </w:p>
    <w:p w14:paraId="0F7619EF"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сведения об образовании, опыте работы, квалификации;</w:t>
      </w:r>
    </w:p>
    <w:p w14:paraId="40CD9DC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иные персональные данные, сообщаемые кандидатами в резюме и сопроводительных письмах.</w:t>
      </w:r>
    </w:p>
    <w:p w14:paraId="2B2B68E3"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6.2.2. Работники и бывшие работники Оператора.</w:t>
      </w:r>
    </w:p>
    <w:p w14:paraId="3B6394C5"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В данной категории субъектов Оператором обрабатываются персональные данные, полученные Оператором, в целях исполнения законодательства в рамках трудовых и иных непосредственно связанных с ним отношений, содействия работникам в получении образования и продвижении по службе, обеспечения личной безопасности работников, осуществления пропускного режима, контроля количества и качества выполняемой работы и обеспечения сохранности имущества работников, Оператора и иных лиц, находящихся на территории Оператора:</w:t>
      </w:r>
    </w:p>
    <w:p w14:paraId="764F2E4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только общие персональные данные:</w:t>
      </w:r>
    </w:p>
    <w:p w14:paraId="56AEEBB3"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фамилия, имя, отчество;</w:t>
      </w:r>
    </w:p>
    <w:p w14:paraId="0F951BC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lastRenderedPageBreak/>
        <w:t>- пол;</w:t>
      </w:r>
    </w:p>
    <w:p w14:paraId="665679E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гражданство;</w:t>
      </w:r>
    </w:p>
    <w:p w14:paraId="1E8F750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дата и место рождения;</w:t>
      </w:r>
    </w:p>
    <w:p w14:paraId="008851ED"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паспортные данные;</w:t>
      </w:r>
    </w:p>
    <w:p w14:paraId="08BBAB2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адрес регистрации по месту жительства;</w:t>
      </w:r>
    </w:p>
    <w:p w14:paraId="22A261B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адрес фактического проживания;</w:t>
      </w:r>
    </w:p>
    <w:p w14:paraId="4A8ABD2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контактные данные;</w:t>
      </w:r>
    </w:p>
    <w:p w14:paraId="4788187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индивидуальный номер налогоплательщика;</w:t>
      </w:r>
    </w:p>
    <w:p w14:paraId="4B1F565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страховой номер индивидуального лицевого счета (СНИЛС);</w:t>
      </w:r>
    </w:p>
    <w:p w14:paraId="0C40EC0E"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сведения об образовании, квалификации, профессиональной подготовке и повышении квалификации;</w:t>
      </w:r>
    </w:p>
    <w:p w14:paraId="31AC866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семейное положение, наличие детей, родственные связи;</w:t>
      </w:r>
    </w:p>
    <w:p w14:paraId="42AC71B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сведения о трудовой деятельности, в том числе наличие поощрений, награждений и (или) дисциплинарных взысканий;</w:t>
      </w:r>
    </w:p>
    <w:p w14:paraId="6C94171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сведения о воинском учете;</w:t>
      </w:r>
    </w:p>
    <w:p w14:paraId="08475089"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сведения об инвалидности;</w:t>
      </w:r>
    </w:p>
    <w:p w14:paraId="32E956A3"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сведения об удержании алиментов и иных платежей;</w:t>
      </w:r>
    </w:p>
    <w:p w14:paraId="3CAD6DE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сведения о доходе с предыдущего места работы;</w:t>
      </w:r>
    </w:p>
    <w:p w14:paraId="645E03B8"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иные персональные данные, сообщаемые работниками в соответствии с требованиями законодательства.</w:t>
      </w:r>
    </w:p>
    <w:p w14:paraId="05C18AA8"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6.2.3. Члены семьи работников Оператора.</w:t>
      </w:r>
    </w:p>
    <w:p w14:paraId="6CF0F63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В данной категории субъектов Оператором обрабатываются персональные данные, полученные Оператором, в целях исполнения законодательства в рамках трудовых и иных непосредственно связанных с ним отношений:</w:t>
      </w:r>
    </w:p>
    <w:p w14:paraId="73229C1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только общие персональные данные:</w:t>
      </w:r>
    </w:p>
    <w:p w14:paraId="11CBA90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фамилия, имя, отчество;</w:t>
      </w:r>
    </w:p>
    <w:p w14:paraId="4D2036B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степень родства;</w:t>
      </w:r>
    </w:p>
    <w:p w14:paraId="67DF63F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lastRenderedPageBreak/>
        <w:t>- иные персональные данные, предоставляемые работниками в соответствии с требованиями законодательства.</w:t>
      </w:r>
    </w:p>
    <w:p w14:paraId="000AED0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6.2.4. Контрагенты и клиенты Оператора (физические лица).</w:t>
      </w:r>
    </w:p>
    <w:p w14:paraId="3E32CC8D" w14:textId="4508C576"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В данной категории субъектов Оператором обрабатываются персональные данные, полученные Оператором, в целях заключения, изменения, расторжения, исполнения договора, стороной которого является субъект персональных данных, и осуществления своей деятельности в соответствии с Уставом Оператора, осуществления пропускного режима, обеспечения сохранности имущества работников, Оператора и иных лиц, находящихся на территории Оператора:</w:t>
      </w:r>
    </w:p>
    <w:p w14:paraId="3DDE15DD"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только общие персональные данные:</w:t>
      </w:r>
    </w:p>
    <w:p w14:paraId="0BF9A23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фамилия, имя, отчество;</w:t>
      </w:r>
    </w:p>
    <w:p w14:paraId="02D002A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степень родства;</w:t>
      </w:r>
    </w:p>
    <w:p w14:paraId="010273C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иные персональные данные, предоставляемые работниками в соответствии с требованиями законодательства.</w:t>
      </w:r>
    </w:p>
    <w:p w14:paraId="562021C3"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6.2.5. Пользователи сайтов Оператора.</w:t>
      </w:r>
    </w:p>
    <w:p w14:paraId="29BC1478"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В данной категории субъектов Оператором обрабатываются персональные данные, полученные Оператором, в целях обработки запросов и заявок, поступивших от лиц с использование сайтов Оператора:</w:t>
      </w:r>
    </w:p>
    <w:p w14:paraId="2F6A1623"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только общие персональные данные:</w:t>
      </w:r>
    </w:p>
    <w:p w14:paraId="13E00EB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фамилия, имя, отчество;</w:t>
      </w:r>
    </w:p>
    <w:p w14:paraId="15A044D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адрес проживания;</w:t>
      </w:r>
    </w:p>
    <w:p w14:paraId="407DA9D9"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контактные данные;</w:t>
      </w:r>
    </w:p>
    <w:p w14:paraId="2FE9B71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иные персональные данные, сообщенные пользователями сайтов Оператора для целей обработки запросов и заявок, поступивших от указанных лиц с использованием сайтов Оператора.</w:t>
      </w:r>
    </w:p>
    <w:p w14:paraId="342184E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6.3.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14:paraId="04F3AD4B" w14:textId="77777777" w:rsidR="00D441B2" w:rsidRPr="00D441B2" w:rsidRDefault="00D441B2" w:rsidP="00D441B2">
      <w:pPr>
        <w:spacing w:before="100" w:beforeAutospacing="1" w:after="100" w:afterAutospacing="1" w:line="240" w:lineRule="auto"/>
        <w:jc w:val="center"/>
        <w:outlineLvl w:val="1"/>
        <w:rPr>
          <w:rFonts w:ascii="Times New Roman" w:eastAsia="Times New Roman" w:hAnsi="Times New Roman" w:cs="Times New Roman"/>
          <w:b/>
          <w:bCs/>
          <w:i/>
          <w:iCs/>
          <w:color w:val="000000"/>
          <w:sz w:val="24"/>
          <w:szCs w:val="24"/>
          <w:lang w:eastAsia="ru-RU"/>
        </w:rPr>
      </w:pPr>
      <w:r w:rsidRPr="00D441B2">
        <w:rPr>
          <w:rFonts w:ascii="Times New Roman" w:eastAsia="Times New Roman" w:hAnsi="Times New Roman" w:cs="Times New Roman"/>
          <w:b/>
          <w:bCs/>
          <w:i/>
          <w:iCs/>
          <w:color w:val="000000"/>
          <w:sz w:val="24"/>
          <w:szCs w:val="24"/>
          <w:lang w:eastAsia="ru-RU"/>
        </w:rPr>
        <w:t>7. Порядок и условия обработки персональных данных</w:t>
      </w:r>
    </w:p>
    <w:p w14:paraId="134BCBE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lastRenderedPageBreak/>
        <w:t xml:space="preserve">7.1. Обработка персональных данных осуществляется Оператором с соблюдением принципов и правил, предусмотренных </w:t>
      </w:r>
      <w:hyperlink r:id="rId21" w:anchor="/document/12148567/entry/200"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Законом</w:t>
        </w:r>
      </w:hyperlink>
      <w:r w:rsidRPr="00D441B2">
        <w:rPr>
          <w:rFonts w:ascii="Times New Roman" w:eastAsia="Times New Roman" w:hAnsi="Times New Roman" w:cs="Times New Roman"/>
          <w:sz w:val="24"/>
          <w:szCs w:val="24"/>
          <w:lang w:eastAsia="ru-RU"/>
        </w:rPr>
        <w:t xml:space="preserve"> о персональных данных. Обработка персональных данных осуществляется Оператором на законной и справедливой основе.</w:t>
      </w:r>
    </w:p>
    <w:p w14:paraId="5DD9EC2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7.2.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14:paraId="0C4482F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7.3. Обработка персональных данных Оператором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Не допускается объединение баз данных, содержащих персональные данные, обработка которых осуществляется в целях, несовместимых между собой.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 </w:t>
      </w:r>
    </w:p>
    <w:p w14:paraId="3B60CA18"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7.4. При обработке персональных данных Оператор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по удалению или уточнению неполных или неточных данных.</w:t>
      </w:r>
    </w:p>
    <w:p w14:paraId="0B35D37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7.5. Способ обработки персональных данных для каждой цели их обработки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2AFD259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7.6. Сроки обработки персональных данных определяются исходя из конкретных целей обработки персональных данных в соответствии со сроком действия договоров с субъектами персональных данных, требованиями законодательства Российской Федерации и иных нормативных правовых актов.</w:t>
      </w:r>
    </w:p>
    <w:p w14:paraId="4C96CFCA"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50AE675A"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7.7. К обработке персональных данных допускаются работники Оператора, в должностные обязанности которых входит обработка персональных данных. </w:t>
      </w:r>
    </w:p>
    <w:p w14:paraId="4DBFC1E9"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7.8. Обработка персональных данных для каждой цели обработки, указанной в пункте 6.2 настоящей Политики, осуществляется путем: </w:t>
      </w:r>
    </w:p>
    <w:p w14:paraId="507ED5C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получения персональных данных в устной и письменной форме непосредственно от субъектов персональных данных;</w:t>
      </w:r>
    </w:p>
    <w:p w14:paraId="2CDCB7E5"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внесения персональных данных в журналы, реестры и информационные системы Оператора;</w:t>
      </w:r>
    </w:p>
    <w:p w14:paraId="2A879C4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lastRenderedPageBreak/>
        <w:t>- использования иных способов обработки персональных данных.</w:t>
      </w:r>
    </w:p>
    <w:p w14:paraId="2F83A36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7.9.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14:paraId="68200B5E"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3060FF6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Оператор обеспечивает субъекту персональных данных возможность определения </w:t>
      </w:r>
      <w:proofErr w:type="spellStart"/>
      <w:r w:rsidRPr="00D441B2">
        <w:rPr>
          <w:rFonts w:ascii="Times New Roman" w:eastAsia="Times New Roman" w:hAnsi="Times New Roman" w:cs="Times New Roman"/>
          <w:sz w:val="24"/>
          <w:szCs w:val="24"/>
          <w:lang w:eastAsia="ru-RU"/>
        </w:rPr>
        <w:t>переченя</w:t>
      </w:r>
      <w:proofErr w:type="spellEnd"/>
      <w:r w:rsidRPr="00D441B2">
        <w:rPr>
          <w:rFonts w:ascii="Times New Roman" w:eastAsia="Times New Roman" w:hAnsi="Times New Roman" w:cs="Times New Roman"/>
          <w:sz w:val="24"/>
          <w:szCs w:val="24"/>
          <w:lang w:eastAsia="ru-RU"/>
        </w:rPr>
        <w:t xml:space="preserve">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1432B543"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Передача (распространение, предоставление, доступ) персональных данных, разрешенных субъектом персональных данных для распространения, прекращается Оператором в любое время по требованию субъекта персональных данных.</w:t>
      </w:r>
    </w:p>
    <w:p w14:paraId="7860909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7.10.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 организации осуществляется в соответствии с требованиями законодательства Российской Федерации.</w:t>
      </w:r>
    </w:p>
    <w:p w14:paraId="2B972AF3"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7.11.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других неправомерных действий, в том числе:</w:t>
      </w:r>
    </w:p>
    <w:p w14:paraId="6157742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определяет угрозы безопасности персональных данных при их обработке в информационных системах персональных данных;</w:t>
      </w:r>
    </w:p>
    <w:p w14:paraId="730F1D9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принимает локальные нормативные акты и иные документы, регулирующие отношения в сфере обработки и защиты персональных данных;</w:t>
      </w:r>
    </w:p>
    <w:p w14:paraId="25EFBAA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назначает лиц, ответственных за обработку и обеспечение безопасности персональных данных в структурных подразделениях и информационных системах Оператора;</w:t>
      </w:r>
    </w:p>
    <w:p w14:paraId="78D91998"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создает необходимые условия для работы с персональными данными;</w:t>
      </w:r>
    </w:p>
    <w:p w14:paraId="3BB7D68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организует учет документов, содержащих персональные данные;</w:t>
      </w:r>
    </w:p>
    <w:p w14:paraId="16ACD72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организует работу с информационными системами, в которых обрабатываются персональные данные;</w:t>
      </w:r>
    </w:p>
    <w:p w14:paraId="7FC5AC4E"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хранит персональные данные в условиях, при которых обеспечивается их сохранность и исключается неправомерный доступ к ним;</w:t>
      </w:r>
    </w:p>
    <w:p w14:paraId="5D7029B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lastRenderedPageBreak/>
        <w:t>- организует обучение работников Оператора, осуществляющих обработку персональных данных.</w:t>
      </w:r>
    </w:p>
    <w:p w14:paraId="32FC40C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7.12.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24E8F4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7.13. Срок хранения персональных данных обусловлен достижением конкретной цели их обработки, моментом отзыва согласия на обработку персональных данных субъектом персональных данных, а также требованиями действующего законодательства.</w:t>
      </w:r>
    </w:p>
    <w:p w14:paraId="6ADA6C7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7.14.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5880898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7.15. При осуществлении хранения персональных данных Оператор использует базы данных, находящиеся на территории Российской Федерации, в соответствии с </w:t>
      </w:r>
      <w:hyperlink r:id="rId22" w:anchor="/document/12148567/entry/41815"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частью 5 статьи 18</w:t>
        </w:r>
      </w:hyperlink>
      <w:r w:rsidRPr="00D441B2">
        <w:rPr>
          <w:rFonts w:ascii="Times New Roman" w:eastAsia="Times New Roman" w:hAnsi="Times New Roman" w:cs="Times New Roman"/>
          <w:sz w:val="24"/>
          <w:szCs w:val="24"/>
          <w:lang w:eastAsia="ru-RU"/>
        </w:rPr>
        <w:t xml:space="preserve"> Закона о персональных данных.</w:t>
      </w:r>
    </w:p>
    <w:p w14:paraId="562971D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7.16. Оператор прекращает обработку персональных данных в следующих случаях:</w:t>
      </w:r>
    </w:p>
    <w:p w14:paraId="0F00FE8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выявлен факт их неправомерной обработки, в срок, не превышающий трех рабочих дней с даты этого выявления;</w:t>
      </w:r>
    </w:p>
    <w:p w14:paraId="34305396"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достигнута цель их обработки, в срок, не превышающий тридцати дней с даты достижения цели обработки персональных данных;</w:t>
      </w:r>
    </w:p>
    <w:p w14:paraId="3D03683A"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 в срок, не превышающий тридцати дней с даты поступления указанного отзыва, если иное не предусмотрено пунктом 7.17 настоящей Политики.</w:t>
      </w:r>
    </w:p>
    <w:p w14:paraId="46C23E87"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7.17.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24E5A97F"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 иное не предусмотрено договором, стороной которого, выгодоприобретателем или </w:t>
      </w:r>
      <w:proofErr w:type="gramStart"/>
      <w:r w:rsidRPr="00D441B2">
        <w:rPr>
          <w:rFonts w:ascii="Times New Roman" w:eastAsia="Times New Roman" w:hAnsi="Times New Roman" w:cs="Times New Roman"/>
          <w:sz w:val="24"/>
          <w:szCs w:val="24"/>
          <w:lang w:eastAsia="ru-RU"/>
        </w:rPr>
        <w:t>поручителем</w:t>
      </w:r>
      <w:proofErr w:type="gramEnd"/>
      <w:r w:rsidRPr="00D441B2">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19A4288F"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иное не предусмотрено другим соглашением между Оператором и субъектом персональных данных;</w:t>
      </w:r>
    </w:p>
    <w:p w14:paraId="49B4AB0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другими федеральными законами.</w:t>
      </w:r>
    </w:p>
    <w:p w14:paraId="3310E98E"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lastRenderedPageBreak/>
        <w:t xml:space="preserve">7.18. При обращении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23" w:anchor="/document/12148567/entry/2151"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Законом</w:t>
        </w:r>
      </w:hyperlink>
      <w:r w:rsidRPr="00D441B2">
        <w:rPr>
          <w:rFonts w:ascii="Times New Roman" w:eastAsia="Times New Roman" w:hAnsi="Times New Roman" w:cs="Times New Roman"/>
          <w:sz w:val="24"/>
          <w:szCs w:val="24"/>
          <w:lang w:eastAsia="ru-RU"/>
        </w:rPr>
        <w:t xml:space="preserve"> о персональных данных. Указанный срок может быть продлен, но не более чем на пять рабочих дней. Для этого Оператору необходимо направить в адрес субъекта персональных данных мотивированное уведомление с указанием причин продления срока.</w:t>
      </w:r>
    </w:p>
    <w:p w14:paraId="2ADCBC29"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7.19.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712B46FC" w14:textId="77777777" w:rsidR="00D441B2" w:rsidRPr="00D441B2" w:rsidRDefault="00D441B2" w:rsidP="00D441B2">
      <w:pPr>
        <w:spacing w:before="100" w:beforeAutospacing="1" w:after="100" w:afterAutospacing="1" w:line="240" w:lineRule="auto"/>
        <w:jc w:val="center"/>
        <w:outlineLvl w:val="1"/>
        <w:rPr>
          <w:rFonts w:ascii="Times New Roman" w:eastAsia="Times New Roman" w:hAnsi="Times New Roman" w:cs="Times New Roman"/>
          <w:b/>
          <w:bCs/>
          <w:i/>
          <w:iCs/>
          <w:color w:val="000000"/>
          <w:sz w:val="24"/>
          <w:szCs w:val="24"/>
          <w:lang w:eastAsia="ru-RU"/>
        </w:rPr>
      </w:pPr>
      <w:r w:rsidRPr="00D441B2">
        <w:rPr>
          <w:rFonts w:ascii="Times New Roman" w:eastAsia="Times New Roman" w:hAnsi="Times New Roman" w:cs="Times New Roman"/>
          <w:b/>
          <w:bCs/>
          <w:i/>
          <w:iCs/>
          <w:color w:val="000000"/>
          <w:sz w:val="24"/>
          <w:szCs w:val="24"/>
          <w:lang w:eastAsia="ru-RU"/>
        </w:rPr>
        <w:t>8. Актуализация, исправление, удаление и уничтожение персональных данных, ответы на запросы субъектов на доступ к персональным данным</w:t>
      </w:r>
    </w:p>
    <w:p w14:paraId="244F2670"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8.1. Оператор в порядке, предусмотренном </w:t>
      </w:r>
      <w:hyperlink r:id="rId24" w:anchor="/document/12148567/entry/14" w:tgtFrame="_blank" w:tooltip="Открыть документ в системе Гарант" w:history="1">
        <w:r w:rsidRPr="00D441B2">
          <w:rPr>
            <w:rFonts w:ascii="Times New Roman" w:eastAsia="Times New Roman" w:hAnsi="Times New Roman" w:cs="Times New Roman"/>
            <w:color w:val="000000"/>
            <w:sz w:val="24"/>
            <w:szCs w:val="24"/>
            <w:lang w:eastAsia="ru-RU"/>
          </w:rPr>
          <w:t>статьей 14</w:t>
        </w:r>
      </w:hyperlink>
      <w:r w:rsidRPr="00D441B2">
        <w:rPr>
          <w:rFonts w:ascii="Times New Roman" w:eastAsia="Times New Roman" w:hAnsi="Times New Roman" w:cs="Times New Roman"/>
          <w:sz w:val="24"/>
          <w:szCs w:val="24"/>
          <w:lang w:eastAsia="ru-RU"/>
        </w:rPr>
        <w:t xml:space="preserve"> Закона о персональных данных,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Данный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B8257F4"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8.2.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14:paraId="2274E723"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вносит в них необходимые изменения. </w:t>
      </w:r>
    </w:p>
    <w:p w14:paraId="79D3E5B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w:t>
      </w:r>
    </w:p>
    <w:p w14:paraId="512123B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Оператор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7F648CE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xml:space="preserve">8.3.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w:t>
      </w:r>
      <w:r w:rsidRPr="00D441B2">
        <w:rPr>
          <w:rFonts w:ascii="Times New Roman" w:eastAsia="Times New Roman" w:hAnsi="Times New Roman" w:cs="Times New Roman"/>
          <w:sz w:val="24"/>
          <w:szCs w:val="24"/>
          <w:lang w:eastAsia="ru-RU"/>
        </w:rPr>
        <w:lastRenderedPageBreak/>
        <w:t>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4F7D8CA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8.4.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1E8A82E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предоставляет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42CD427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577AD76B"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8.5.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14:paraId="1EA71311"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8.6. Оператор для этих целей создает экспертную комиссию и проводит экспертизу ценности документов.</w:t>
      </w:r>
    </w:p>
    <w:p w14:paraId="0A933BEF"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8.7. По результатам экспертизы документы, содержащие персональные данные субъекта и подлежащие уничтожению:</w:t>
      </w:r>
    </w:p>
    <w:p w14:paraId="4D6F019C"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на бумажном носителе - уничтожаются путем измельчения в шредере;</w:t>
      </w:r>
    </w:p>
    <w:p w14:paraId="369DA9F2" w14:textId="77777777" w:rsidR="00D441B2" w:rsidRPr="00D441B2" w:rsidRDefault="00D441B2" w:rsidP="00D441B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441B2">
        <w:rPr>
          <w:rFonts w:ascii="Times New Roman" w:eastAsia="Times New Roman" w:hAnsi="Times New Roman" w:cs="Times New Roman"/>
          <w:sz w:val="24"/>
          <w:szCs w:val="24"/>
          <w:lang w:eastAsia="ru-RU"/>
        </w:rPr>
        <w:t>- в электронном виде - стираются с информационных носителей либо физически уничтожаются сами носители, на которых хранится информация.</w:t>
      </w:r>
    </w:p>
    <w:p w14:paraId="1769F905" w14:textId="34E64C75" w:rsidR="000D1DB2" w:rsidRPr="00D441B2" w:rsidRDefault="00D441B2" w:rsidP="000D1DB2">
      <w:pPr>
        <w:rPr>
          <w:rFonts w:ascii="Times New Roman" w:hAnsi="Times New Roman" w:cs="Times New Roman"/>
        </w:rPr>
      </w:pPr>
      <w:r w:rsidRPr="00D441B2">
        <w:rPr>
          <w:rFonts w:ascii="Times New Roman" w:eastAsia="Times New Roman" w:hAnsi="Times New Roman" w:cs="Times New Roman"/>
          <w:sz w:val="24"/>
          <w:szCs w:val="24"/>
          <w:lang w:eastAsia="ru-RU"/>
        </w:rPr>
        <w:t>8.8. Документами, подтверждающими уничтожение персональных данных субъектов, обрабатываемых Оператором с использованием средств автоматизации, являются акт об уничтожении персональных данных и выгрузка из журнала регистрации событий в информационной системе персональ</w:t>
      </w:r>
      <w:r>
        <w:rPr>
          <w:rFonts w:ascii="Times New Roman" w:eastAsia="Times New Roman" w:hAnsi="Times New Roman" w:cs="Times New Roman"/>
          <w:sz w:val="24"/>
          <w:szCs w:val="24"/>
          <w:lang w:eastAsia="ru-RU"/>
        </w:rPr>
        <w:t>ных данных.</w:t>
      </w:r>
    </w:p>
    <w:p w14:paraId="5782EA50" w14:textId="77777777" w:rsidR="000D1DB2" w:rsidRPr="00D441B2" w:rsidRDefault="000D1DB2" w:rsidP="000D1DB2">
      <w:pPr>
        <w:rPr>
          <w:rFonts w:ascii="Times New Roman" w:hAnsi="Times New Roman" w:cs="Times New Roman"/>
        </w:rPr>
      </w:pPr>
    </w:p>
    <w:p w14:paraId="5463F36D" w14:textId="77777777" w:rsidR="000D1DB2" w:rsidRPr="00D441B2" w:rsidRDefault="000D1DB2" w:rsidP="000D1DB2">
      <w:pPr>
        <w:tabs>
          <w:tab w:val="left" w:pos="3780"/>
        </w:tabs>
        <w:rPr>
          <w:rFonts w:ascii="Times New Roman" w:hAnsi="Times New Roman" w:cs="Times New Roman"/>
        </w:rPr>
      </w:pPr>
      <w:r w:rsidRPr="00D441B2">
        <w:rPr>
          <w:rFonts w:ascii="Times New Roman" w:hAnsi="Times New Roman" w:cs="Times New Roman"/>
        </w:rPr>
        <w:tab/>
      </w:r>
    </w:p>
    <w:p w14:paraId="197E79D0" w14:textId="77777777" w:rsidR="001811E8" w:rsidRPr="00D441B2" w:rsidRDefault="001811E8" w:rsidP="000D1DB2">
      <w:pPr>
        <w:tabs>
          <w:tab w:val="left" w:pos="3780"/>
        </w:tabs>
        <w:rPr>
          <w:rFonts w:ascii="Times New Roman" w:hAnsi="Times New Roman" w:cs="Times New Roman"/>
        </w:rPr>
      </w:pPr>
    </w:p>
    <w:sectPr w:rsidR="001811E8" w:rsidRPr="00D441B2" w:rsidSect="0037618B">
      <w:headerReference w:type="default" r:id="rId25"/>
      <w:footerReference w:type="default" r:id="rId26"/>
      <w:pgSz w:w="11906" w:h="16838"/>
      <w:pgMar w:top="1843" w:right="850" w:bottom="1134" w:left="1701" w:header="567"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B17B3" w14:textId="77777777" w:rsidR="00B14B0D" w:rsidRDefault="00B14B0D" w:rsidP="000D1DB2">
      <w:pPr>
        <w:spacing w:after="0" w:line="240" w:lineRule="auto"/>
      </w:pPr>
      <w:r>
        <w:separator/>
      </w:r>
    </w:p>
  </w:endnote>
  <w:endnote w:type="continuationSeparator" w:id="0">
    <w:p w14:paraId="0C304D77" w14:textId="77777777" w:rsidR="00B14B0D" w:rsidRDefault="00B14B0D" w:rsidP="000D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E8BC1" w14:textId="77777777" w:rsidR="00183D76" w:rsidRPr="00183D76" w:rsidRDefault="00183D76" w:rsidP="00183D76">
    <w:pPr>
      <w:pStyle w:val="a5"/>
      <w:tabs>
        <w:tab w:val="clear" w:pos="4677"/>
        <w:tab w:val="clear" w:pos="9355"/>
      </w:tabs>
      <w:jc w:val="center"/>
      <w:rPr>
        <w:rFonts w:ascii="Arial Narrow" w:hAnsi="Arial Narrow"/>
      </w:rPr>
    </w:pPr>
    <w:r w:rsidRPr="00183D76">
      <w:rPr>
        <w:rFonts w:ascii="Arial Narrow" w:hAnsi="Arial Narrow"/>
        <w:color w:val="084783"/>
      </w:rPr>
      <w:t>AVEKS</w:t>
    </w:r>
    <w:r w:rsidRPr="00183D76">
      <w:rPr>
        <w:rFonts w:ascii="Arial Narrow" w:hAnsi="Arial Narrow"/>
      </w:rPr>
      <w:t xml:space="preserve"> Программное обеспечение для систем видеонаблюдения </w:t>
    </w:r>
    <w:r w:rsidRPr="00183D76">
      <w:rPr>
        <w:rFonts w:ascii="Arial Narrow" w:hAnsi="Arial Narrow"/>
        <w:color w:val="084783"/>
      </w:rPr>
      <w:t>·</w:t>
    </w:r>
    <w:r w:rsidR="00881765" w:rsidRPr="000516D1">
      <w:rPr>
        <w:rFonts w:ascii="Arial Narrow" w:hAnsi="Arial Narrow"/>
        <w:color w:val="084783"/>
      </w:rPr>
      <w:t xml:space="preserve"> </w:t>
    </w:r>
    <w:r w:rsidRPr="00183D76">
      <w:rPr>
        <w:rFonts w:ascii="Arial Narrow" w:hAnsi="Arial Narrow"/>
        <w:color w:val="084783"/>
      </w:rPr>
      <w:t>разработка · продажа · техподдержка</w:t>
    </w:r>
  </w:p>
  <w:p w14:paraId="3EF444CE" w14:textId="77777777" w:rsidR="00183D76" w:rsidRPr="00183D76" w:rsidRDefault="00183D76" w:rsidP="00183D76">
    <w:pPr>
      <w:pStyle w:val="a5"/>
      <w:tabs>
        <w:tab w:val="clear" w:pos="4677"/>
        <w:tab w:val="center" w:pos="4536"/>
      </w:tabs>
      <w:jc w:val="center"/>
      <w:rPr>
        <w:rFonts w:ascii="Arial Narrow" w:hAnsi="Arial Narrow"/>
        <w:color w:val="084783"/>
      </w:rPr>
    </w:pPr>
    <w:r w:rsidRPr="00183D76">
      <w:rPr>
        <w:rFonts w:ascii="Arial Narrow" w:hAnsi="Arial Narrow"/>
      </w:rPr>
      <w:t xml:space="preserve">Комплексные системы безопасности </w:t>
    </w:r>
    <w:r w:rsidRPr="00183D76">
      <w:rPr>
        <w:rFonts w:ascii="Arial Narrow" w:hAnsi="Arial Narrow"/>
        <w:color w:val="084783"/>
      </w:rPr>
      <w:t>· проектирование · поставка · монтаж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A630E" w14:textId="77777777" w:rsidR="00B14B0D" w:rsidRDefault="00B14B0D" w:rsidP="000D1DB2">
      <w:pPr>
        <w:spacing w:after="0" w:line="240" w:lineRule="auto"/>
      </w:pPr>
      <w:r>
        <w:separator/>
      </w:r>
    </w:p>
  </w:footnote>
  <w:footnote w:type="continuationSeparator" w:id="0">
    <w:p w14:paraId="56475E86" w14:textId="77777777" w:rsidR="00B14B0D" w:rsidRDefault="00B14B0D" w:rsidP="000D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7"/>
      <w:tblpPr w:leftFromText="180" w:rightFromText="180" w:vertAnchor="text" w:horzAnchor="margin" w:tblpXSpec="center" w:tblpY="-52"/>
      <w:tblW w:w="9705" w:type="dxa"/>
      <w:tblBorders>
        <w:top w:val="none" w:sz="0" w:space="0" w:color="auto"/>
        <w:left w:val="none" w:sz="0" w:space="0" w:color="auto"/>
        <w:bottom w:val="none" w:sz="0" w:space="0" w:color="auto"/>
        <w:right w:val="none" w:sz="0" w:space="0" w:color="auto"/>
        <w:insideH w:val="none" w:sz="0" w:space="0" w:color="auto"/>
        <w:insideV w:val="single" w:sz="8" w:space="0" w:color="AEAAAA" w:themeColor="background2" w:themeShade="BF"/>
      </w:tblBorders>
      <w:tblLook w:val="04A0" w:firstRow="1" w:lastRow="0" w:firstColumn="1" w:lastColumn="0" w:noHBand="0" w:noVBand="1"/>
    </w:tblPr>
    <w:tblGrid>
      <w:gridCol w:w="3227"/>
      <w:gridCol w:w="6478"/>
    </w:tblGrid>
    <w:tr w:rsidR="00183D76" w:rsidRPr="000D1DB2" w14:paraId="5795EFB9" w14:textId="77777777" w:rsidTr="0051685A">
      <w:trPr>
        <w:trHeight w:val="589"/>
      </w:trPr>
      <w:tc>
        <w:tcPr>
          <w:tcW w:w="3227" w:type="dxa"/>
        </w:tcPr>
        <w:p w14:paraId="1577DA63" w14:textId="77777777" w:rsidR="00346852" w:rsidRPr="00346852" w:rsidRDefault="00346852" w:rsidP="0051685A">
          <w:pPr>
            <w:tabs>
              <w:tab w:val="left" w:pos="3780"/>
            </w:tabs>
            <w:rPr>
              <w:rFonts w:ascii="Arial Narrow" w:hAnsi="Arial Narrow"/>
              <w:sz w:val="20"/>
              <w:szCs w:val="20"/>
              <w:lang w:val="en-US"/>
            </w:rPr>
          </w:pPr>
          <w:bookmarkStart w:id="1" w:name="_Hlk89125483"/>
          <w:r>
            <w:rPr>
              <w:rFonts w:ascii="Arial Narrow" w:hAnsi="Arial Narrow"/>
              <w:noProof/>
              <w:sz w:val="20"/>
              <w:szCs w:val="20"/>
              <w:lang w:eastAsia="ru-RU"/>
            </w:rPr>
            <w:drawing>
              <wp:inline distT="0" distB="0" distL="0" distR="0" wp14:anchorId="255493F6" wp14:editId="38BD1750">
                <wp:extent cx="1733138" cy="672892"/>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veks_Softwear solutio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754" cy="676625"/>
                        </a:xfrm>
                        <a:prstGeom prst="rect">
                          <a:avLst/>
                        </a:prstGeom>
                      </pic:spPr>
                    </pic:pic>
                  </a:graphicData>
                </a:graphic>
              </wp:inline>
            </w:drawing>
          </w:r>
          <w:r>
            <w:rPr>
              <w:rFonts w:ascii="Arial Narrow" w:hAnsi="Arial Narrow"/>
              <w:sz w:val="20"/>
              <w:szCs w:val="20"/>
              <w:lang w:val="en-US"/>
            </w:rPr>
            <w:t xml:space="preserve"> </w:t>
          </w:r>
        </w:p>
      </w:tc>
      <w:tc>
        <w:tcPr>
          <w:tcW w:w="6478" w:type="dxa"/>
        </w:tcPr>
        <w:p w14:paraId="3201C02A" w14:textId="77777777" w:rsidR="002F7872" w:rsidRPr="000D1DB2" w:rsidRDefault="002F7872" w:rsidP="002F7872">
          <w:pPr>
            <w:tabs>
              <w:tab w:val="left" w:pos="3780"/>
            </w:tabs>
            <w:jc w:val="right"/>
            <w:rPr>
              <w:rFonts w:ascii="Arial Narrow" w:hAnsi="Arial Narrow"/>
              <w:sz w:val="20"/>
              <w:szCs w:val="20"/>
            </w:rPr>
          </w:pPr>
          <w:r w:rsidRPr="000D1DB2">
            <w:rPr>
              <w:rFonts w:ascii="Arial Narrow" w:hAnsi="Arial Narrow"/>
              <w:sz w:val="20"/>
              <w:szCs w:val="20"/>
            </w:rPr>
            <w:t>ООО «АВЕКС»</w:t>
          </w:r>
        </w:p>
        <w:p w14:paraId="0835C794" w14:textId="4467DAE5" w:rsidR="002F7872" w:rsidRDefault="002F7872" w:rsidP="002F7872">
          <w:pPr>
            <w:tabs>
              <w:tab w:val="left" w:pos="3780"/>
            </w:tabs>
            <w:jc w:val="right"/>
            <w:rPr>
              <w:rFonts w:ascii="Arial Narrow" w:eastAsia="Times New Roman" w:hAnsi="Arial Narrow" w:cs="Tahoma"/>
              <w:sz w:val="20"/>
              <w:szCs w:val="20"/>
              <w:lang w:eastAsia="ru-RU"/>
            </w:rPr>
          </w:pPr>
          <w:r w:rsidRPr="000D1DB2">
            <w:rPr>
              <w:rFonts w:ascii="Arial Narrow" w:hAnsi="Arial Narrow"/>
              <w:sz w:val="20"/>
              <w:szCs w:val="20"/>
            </w:rPr>
            <w:t xml:space="preserve">Адрес: </w:t>
          </w:r>
          <w:r w:rsidR="00A9778B" w:rsidRPr="00A9778B">
            <w:rPr>
              <w:rFonts w:ascii="Arial Narrow" w:eastAsia="Times New Roman" w:hAnsi="Arial Narrow" w:cs="Tahoma"/>
              <w:sz w:val="20"/>
              <w:szCs w:val="20"/>
              <w:lang w:eastAsia="ru-RU"/>
            </w:rPr>
            <w:t>127474, г. Москва, Дмитровское шоссе, д. 60</w:t>
          </w:r>
          <w:r w:rsidR="00A9778B">
            <w:rPr>
              <w:rFonts w:ascii="Arial Narrow" w:eastAsia="Times New Roman" w:hAnsi="Arial Narrow" w:cs="Tahoma"/>
              <w:sz w:val="20"/>
              <w:szCs w:val="20"/>
              <w:lang w:eastAsia="ru-RU"/>
            </w:rPr>
            <w:t>, БЦ Селигер, офис 5</w:t>
          </w:r>
          <w:r w:rsidR="000516D1">
            <w:rPr>
              <w:rFonts w:ascii="Arial Narrow" w:eastAsia="Times New Roman" w:hAnsi="Arial Narrow" w:cs="Tahoma"/>
              <w:sz w:val="20"/>
              <w:szCs w:val="20"/>
              <w:lang w:eastAsia="ru-RU"/>
            </w:rPr>
            <w:t>00</w:t>
          </w:r>
        </w:p>
        <w:p w14:paraId="1B039330" w14:textId="162986D1" w:rsidR="006A74D5" w:rsidRPr="00A9778B" w:rsidRDefault="006A74D5" w:rsidP="002F7872">
          <w:pPr>
            <w:tabs>
              <w:tab w:val="left" w:pos="3780"/>
            </w:tabs>
            <w:jc w:val="right"/>
            <w:rPr>
              <w:rFonts w:ascii="Arial Narrow" w:hAnsi="Arial Narrow"/>
              <w:sz w:val="20"/>
              <w:szCs w:val="20"/>
            </w:rPr>
          </w:pPr>
          <w:r>
            <w:rPr>
              <w:rFonts w:ascii="Arial Narrow" w:eastAsia="Times New Roman" w:hAnsi="Arial Narrow" w:cs="Tahoma"/>
              <w:sz w:val="20"/>
              <w:szCs w:val="20"/>
              <w:lang w:eastAsia="ru-RU"/>
            </w:rPr>
            <w:t xml:space="preserve">ИНН 9710007303, КПП </w:t>
          </w:r>
          <w:r w:rsidRPr="006A74D5">
            <w:rPr>
              <w:rFonts w:ascii="Arial Narrow" w:eastAsia="Times New Roman" w:hAnsi="Arial Narrow" w:cs="Tahoma"/>
              <w:sz w:val="20"/>
              <w:szCs w:val="20"/>
              <w:lang w:eastAsia="ru-RU"/>
            </w:rPr>
            <w:t>771301001</w:t>
          </w:r>
          <w:r>
            <w:rPr>
              <w:rFonts w:ascii="Arial Narrow" w:eastAsia="Times New Roman" w:hAnsi="Arial Narrow" w:cs="Tahoma"/>
              <w:sz w:val="20"/>
              <w:szCs w:val="20"/>
              <w:lang w:eastAsia="ru-RU"/>
            </w:rPr>
            <w:t xml:space="preserve">, ОГРН </w:t>
          </w:r>
          <w:r w:rsidRPr="006A74D5">
            <w:rPr>
              <w:rFonts w:ascii="Arial Narrow" w:eastAsia="Times New Roman" w:hAnsi="Arial Narrow" w:cs="Tahoma"/>
              <w:sz w:val="20"/>
              <w:szCs w:val="20"/>
              <w:lang w:eastAsia="ru-RU"/>
            </w:rPr>
            <w:t>1167746114293</w:t>
          </w:r>
        </w:p>
        <w:p w14:paraId="123634B6" w14:textId="77777777" w:rsidR="002F7872" w:rsidRPr="006A74D5" w:rsidRDefault="002F7872" w:rsidP="002F7872">
          <w:pPr>
            <w:tabs>
              <w:tab w:val="left" w:pos="3780"/>
            </w:tabs>
            <w:jc w:val="right"/>
            <w:rPr>
              <w:rFonts w:ascii="Arial Narrow" w:hAnsi="Arial Narrow"/>
              <w:sz w:val="20"/>
              <w:szCs w:val="20"/>
            </w:rPr>
          </w:pPr>
          <w:r w:rsidRPr="000D1DB2">
            <w:rPr>
              <w:rFonts w:ascii="Arial Narrow" w:hAnsi="Arial Narrow"/>
              <w:sz w:val="20"/>
              <w:szCs w:val="20"/>
              <w:lang w:val="en-US"/>
            </w:rPr>
            <w:t>E</w:t>
          </w:r>
          <w:r w:rsidRPr="006A74D5">
            <w:rPr>
              <w:rFonts w:ascii="Arial Narrow" w:hAnsi="Arial Narrow"/>
              <w:sz w:val="20"/>
              <w:szCs w:val="20"/>
            </w:rPr>
            <w:t>-</w:t>
          </w:r>
          <w:r w:rsidRPr="000D1DB2">
            <w:rPr>
              <w:rFonts w:ascii="Arial Narrow" w:hAnsi="Arial Narrow"/>
              <w:sz w:val="20"/>
              <w:szCs w:val="20"/>
              <w:lang w:val="en-US"/>
            </w:rPr>
            <w:t>mail</w:t>
          </w:r>
          <w:r w:rsidRPr="006A74D5">
            <w:rPr>
              <w:rFonts w:ascii="Arial Narrow" w:hAnsi="Arial Narrow"/>
              <w:sz w:val="20"/>
              <w:szCs w:val="20"/>
            </w:rPr>
            <w:t xml:space="preserve">: </w:t>
          </w:r>
          <w:hyperlink r:id="rId2" w:history="1">
            <w:r w:rsidRPr="003A2CD8">
              <w:rPr>
                <w:rStyle w:val="a8"/>
                <w:rFonts w:ascii="Arial Narrow" w:hAnsi="Arial Narrow"/>
                <w:sz w:val="20"/>
                <w:szCs w:val="20"/>
                <w:lang w:val="en-US"/>
              </w:rPr>
              <w:t>info</w:t>
            </w:r>
            <w:r w:rsidRPr="006A74D5">
              <w:rPr>
                <w:rStyle w:val="a8"/>
                <w:rFonts w:ascii="Arial Narrow" w:hAnsi="Arial Narrow"/>
                <w:sz w:val="20"/>
                <w:szCs w:val="20"/>
              </w:rPr>
              <w:t>@</w:t>
            </w:r>
            <w:proofErr w:type="spellStart"/>
            <w:r w:rsidRPr="003A2CD8">
              <w:rPr>
                <w:rStyle w:val="a8"/>
                <w:rFonts w:ascii="Arial Narrow" w:hAnsi="Arial Narrow"/>
                <w:sz w:val="20"/>
                <w:szCs w:val="20"/>
                <w:lang w:val="en-US"/>
              </w:rPr>
              <w:t>aveks</w:t>
            </w:r>
            <w:proofErr w:type="spellEnd"/>
            <w:r w:rsidRPr="006A74D5">
              <w:rPr>
                <w:rStyle w:val="a8"/>
                <w:rFonts w:ascii="Arial Narrow" w:hAnsi="Arial Narrow"/>
                <w:sz w:val="20"/>
                <w:szCs w:val="20"/>
              </w:rPr>
              <w:t>.</w:t>
            </w:r>
            <w:r w:rsidRPr="003A2CD8">
              <w:rPr>
                <w:rStyle w:val="a8"/>
                <w:rFonts w:ascii="Arial Narrow" w:hAnsi="Arial Narrow"/>
                <w:sz w:val="20"/>
                <w:szCs w:val="20"/>
                <w:lang w:val="en-US"/>
              </w:rPr>
              <w:t>pro</w:t>
            </w:r>
          </w:hyperlink>
        </w:p>
        <w:p w14:paraId="4490E995" w14:textId="1F1984C7" w:rsidR="002F7872" w:rsidRPr="002166DB" w:rsidRDefault="002F7872" w:rsidP="002F7872">
          <w:pPr>
            <w:tabs>
              <w:tab w:val="left" w:pos="3780"/>
            </w:tabs>
            <w:jc w:val="right"/>
            <w:rPr>
              <w:rFonts w:ascii="Arial Narrow" w:hAnsi="Arial Narrow"/>
              <w:sz w:val="20"/>
              <w:szCs w:val="20"/>
            </w:rPr>
          </w:pPr>
          <w:r w:rsidRPr="000D1DB2">
            <w:rPr>
              <w:rFonts w:ascii="Arial Narrow" w:hAnsi="Arial Narrow"/>
              <w:sz w:val="20"/>
              <w:szCs w:val="20"/>
            </w:rPr>
            <w:t>Тел</w:t>
          </w:r>
          <w:r w:rsidRPr="002F7872">
            <w:rPr>
              <w:rFonts w:ascii="Arial Narrow" w:hAnsi="Arial Narrow"/>
              <w:sz w:val="20"/>
              <w:szCs w:val="20"/>
              <w:lang w:val="en-US"/>
            </w:rPr>
            <w:t>. (499) 394-</w:t>
          </w:r>
          <w:r w:rsidR="002166DB">
            <w:rPr>
              <w:rFonts w:ascii="Arial Narrow" w:hAnsi="Arial Narrow"/>
              <w:sz w:val="20"/>
              <w:szCs w:val="20"/>
            </w:rPr>
            <w:t>67</w:t>
          </w:r>
          <w:r w:rsidRPr="002F7872">
            <w:rPr>
              <w:rFonts w:ascii="Arial Narrow" w:hAnsi="Arial Narrow"/>
              <w:sz w:val="20"/>
              <w:szCs w:val="20"/>
              <w:lang w:val="en-US"/>
            </w:rPr>
            <w:t>-</w:t>
          </w:r>
          <w:r w:rsidR="002166DB">
            <w:rPr>
              <w:rFonts w:ascii="Arial Narrow" w:hAnsi="Arial Narrow"/>
              <w:sz w:val="20"/>
              <w:szCs w:val="20"/>
            </w:rPr>
            <w:t>27</w:t>
          </w:r>
        </w:p>
        <w:p w14:paraId="065DCD34" w14:textId="77777777" w:rsidR="00183D76" w:rsidRPr="00881765" w:rsidRDefault="00B14B0D" w:rsidP="002F7872">
          <w:pPr>
            <w:tabs>
              <w:tab w:val="left" w:pos="3780"/>
            </w:tabs>
            <w:jc w:val="right"/>
            <w:rPr>
              <w:rFonts w:ascii="Arial Narrow" w:hAnsi="Arial Narrow"/>
              <w:sz w:val="20"/>
              <w:szCs w:val="20"/>
              <w:lang w:val="en-US"/>
            </w:rPr>
          </w:pPr>
          <w:hyperlink r:id="rId3" w:history="1">
            <w:r w:rsidR="002F7872" w:rsidRPr="006F5628">
              <w:rPr>
                <w:rStyle w:val="a8"/>
                <w:rFonts w:ascii="Arial Narrow" w:hAnsi="Arial Narrow"/>
                <w:sz w:val="20"/>
                <w:szCs w:val="20"/>
                <w:lang w:val="en-US"/>
              </w:rPr>
              <w:t>www</w:t>
            </w:r>
            <w:r w:rsidR="002F7872" w:rsidRPr="00314B00">
              <w:rPr>
                <w:rStyle w:val="a8"/>
                <w:rFonts w:ascii="Arial Narrow" w:hAnsi="Arial Narrow"/>
                <w:sz w:val="20"/>
                <w:szCs w:val="20"/>
              </w:rPr>
              <w:t>.</w:t>
            </w:r>
            <w:proofErr w:type="spellStart"/>
            <w:r w:rsidR="002F7872" w:rsidRPr="006F5628">
              <w:rPr>
                <w:rStyle w:val="a8"/>
                <w:rFonts w:ascii="Arial Narrow" w:hAnsi="Arial Narrow"/>
                <w:sz w:val="20"/>
                <w:szCs w:val="20"/>
                <w:lang w:val="en-US"/>
              </w:rPr>
              <w:t>aveks</w:t>
            </w:r>
            <w:proofErr w:type="spellEnd"/>
            <w:r w:rsidR="002F7872" w:rsidRPr="00314B00">
              <w:rPr>
                <w:rStyle w:val="a8"/>
                <w:rFonts w:ascii="Arial Narrow" w:hAnsi="Arial Narrow"/>
                <w:sz w:val="20"/>
                <w:szCs w:val="20"/>
              </w:rPr>
              <w:t>.</w:t>
            </w:r>
            <w:r w:rsidR="002F7872" w:rsidRPr="006F5628">
              <w:rPr>
                <w:rStyle w:val="a8"/>
                <w:rFonts w:ascii="Arial Narrow" w:hAnsi="Arial Narrow"/>
                <w:sz w:val="20"/>
                <w:szCs w:val="20"/>
                <w:lang w:val="en-US"/>
              </w:rPr>
              <w:t>pro</w:t>
            </w:r>
          </w:hyperlink>
        </w:p>
      </w:tc>
    </w:tr>
    <w:bookmarkEnd w:id="1"/>
  </w:tbl>
  <w:p w14:paraId="2E1A7003" w14:textId="77777777" w:rsidR="00183D76" w:rsidRDefault="00183D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16"/>
    <w:rsid w:val="000516D1"/>
    <w:rsid w:val="000D1DB2"/>
    <w:rsid w:val="001811E8"/>
    <w:rsid w:val="00183D76"/>
    <w:rsid w:val="002166DB"/>
    <w:rsid w:val="00253F85"/>
    <w:rsid w:val="002F7872"/>
    <w:rsid w:val="003201C5"/>
    <w:rsid w:val="00346852"/>
    <w:rsid w:val="0037618B"/>
    <w:rsid w:val="003C17BC"/>
    <w:rsid w:val="00506F89"/>
    <w:rsid w:val="0051685A"/>
    <w:rsid w:val="00580307"/>
    <w:rsid w:val="005A2D31"/>
    <w:rsid w:val="00621484"/>
    <w:rsid w:val="006324B5"/>
    <w:rsid w:val="006523C7"/>
    <w:rsid w:val="006A74D5"/>
    <w:rsid w:val="007B289D"/>
    <w:rsid w:val="00881765"/>
    <w:rsid w:val="008B1884"/>
    <w:rsid w:val="00923316"/>
    <w:rsid w:val="00A960F6"/>
    <w:rsid w:val="00A9778B"/>
    <w:rsid w:val="00B14B0D"/>
    <w:rsid w:val="00C84B0F"/>
    <w:rsid w:val="00CA2D2E"/>
    <w:rsid w:val="00D441B2"/>
    <w:rsid w:val="00DC0B5F"/>
    <w:rsid w:val="00DF497C"/>
    <w:rsid w:val="00EC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B578B"/>
  <w15:chartTrackingRefBased/>
  <w15:docId w15:val="{16894283-768B-4777-8163-55DE8BD1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D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1DB2"/>
  </w:style>
  <w:style w:type="paragraph" w:styleId="a5">
    <w:name w:val="footer"/>
    <w:basedOn w:val="a"/>
    <w:link w:val="a6"/>
    <w:uiPriority w:val="99"/>
    <w:unhideWhenUsed/>
    <w:rsid w:val="000D1D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1DB2"/>
  </w:style>
  <w:style w:type="table" w:styleId="a7">
    <w:name w:val="Table Grid"/>
    <w:basedOn w:val="a1"/>
    <w:uiPriority w:val="39"/>
    <w:rsid w:val="000D1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D1DB2"/>
    <w:rPr>
      <w:color w:val="0563C1" w:themeColor="hyperlink"/>
      <w:u w:val="single"/>
    </w:rPr>
  </w:style>
  <w:style w:type="paragraph" w:styleId="a9">
    <w:name w:val="Balloon Text"/>
    <w:basedOn w:val="a"/>
    <w:link w:val="aa"/>
    <w:uiPriority w:val="99"/>
    <w:semiHidden/>
    <w:unhideWhenUsed/>
    <w:rsid w:val="000516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1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veks.pro" TargetMode="External"/><Relationship Id="rId2" Type="http://schemas.openxmlformats.org/officeDocument/2006/relationships/hyperlink" Target="mailto:info@aveks.pro"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4174</Words>
  <Characters>23793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Васильева</dc:creator>
  <cp:keywords/>
  <dc:description/>
  <cp:lastModifiedBy>Ховский Олег</cp:lastModifiedBy>
  <cp:revision>2</cp:revision>
  <cp:lastPrinted>2023-01-11T20:19:00Z</cp:lastPrinted>
  <dcterms:created xsi:type="dcterms:W3CDTF">2025-06-25T07:57:00Z</dcterms:created>
  <dcterms:modified xsi:type="dcterms:W3CDTF">2025-06-25T07:57:00Z</dcterms:modified>
</cp:coreProperties>
</file>